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B4C50" w14:textId="543BA762" w:rsidR="00731EFD" w:rsidRPr="00304789" w:rsidRDefault="004A2BD3">
      <w:pPr>
        <w:rPr>
          <w:sz w:val="30"/>
          <w:szCs w:val="30"/>
        </w:rPr>
      </w:pPr>
      <w:r w:rsidRPr="00304789">
        <w:rPr>
          <w:sz w:val="30"/>
          <w:szCs w:val="30"/>
        </w:rPr>
        <w:t xml:space="preserve">Un ouragan économique </w:t>
      </w:r>
      <w:r w:rsidR="00F21AD8" w:rsidRPr="00304789">
        <w:rPr>
          <w:sz w:val="30"/>
          <w:szCs w:val="30"/>
        </w:rPr>
        <w:t xml:space="preserve">et financier </w:t>
      </w:r>
      <w:r w:rsidRPr="00304789">
        <w:rPr>
          <w:sz w:val="30"/>
          <w:szCs w:val="30"/>
        </w:rPr>
        <w:t>arrive</w:t>
      </w:r>
    </w:p>
    <w:p w14:paraId="0C206BC2" w14:textId="0CA254A7" w:rsidR="004A2BD3" w:rsidRDefault="00304789">
      <w:r>
        <w:t>Jean-Luc Baslé</w:t>
      </w:r>
      <w:r w:rsidR="00563BD8">
        <w:t>*</w:t>
      </w:r>
      <w:r>
        <w:t xml:space="preserve"> – 13 juin 2022</w:t>
      </w:r>
    </w:p>
    <w:p w14:paraId="5FA56121" w14:textId="77777777" w:rsidR="00304789" w:rsidRDefault="00304789"/>
    <w:p w14:paraId="29ED5655" w14:textId="5CF53586" w:rsidR="00F21AD8" w:rsidRDefault="004A2BD3">
      <w:r>
        <w:t xml:space="preserve">Voilà ce que vient d’annoncer </w:t>
      </w:r>
      <w:hyperlink r:id="rId7" w:history="1">
        <w:r w:rsidRPr="00304789">
          <w:rPr>
            <w:rStyle w:val="Lienhypertexte"/>
            <w:u w:val="none"/>
          </w:rPr>
          <w:t>Jamie Dimon</w:t>
        </w:r>
      </w:hyperlink>
      <w:r>
        <w:t xml:space="preserve"> – le très médiatique président de JPMorgan Chase, première banque américaine</w:t>
      </w:r>
      <w:r w:rsidR="004E00A6">
        <w:t xml:space="preserve"> dont la réputation a été sévèrement écornée non seulement </w:t>
      </w:r>
      <w:r w:rsidR="00304789">
        <w:t>par</w:t>
      </w:r>
      <w:r w:rsidR="0094188C">
        <w:t xml:space="preserve"> </w:t>
      </w:r>
      <w:r w:rsidR="004E00A6">
        <w:t xml:space="preserve">la performance de son titre en bourse mais aussi </w:t>
      </w:r>
      <w:r w:rsidR="00304789">
        <w:t>par</w:t>
      </w:r>
      <w:r w:rsidR="0022145B">
        <w:t xml:space="preserve"> </w:t>
      </w:r>
      <w:r w:rsidR="004E00A6">
        <w:t xml:space="preserve">ses </w:t>
      </w:r>
      <w:r w:rsidR="0022145B">
        <w:t xml:space="preserve">nombreuses </w:t>
      </w:r>
      <w:r w:rsidR="004E00A6">
        <w:t xml:space="preserve">condamnations </w:t>
      </w:r>
      <w:r w:rsidR="0022145B">
        <w:t>en</w:t>
      </w:r>
      <w:r w:rsidR="004E00A6">
        <w:t xml:space="preserve"> justice.</w:t>
      </w:r>
      <w:r w:rsidR="004E00A6">
        <w:rPr>
          <w:rStyle w:val="Appelnotedebasdep"/>
        </w:rPr>
        <w:footnoteReference w:id="1"/>
      </w:r>
      <w:r w:rsidR="0022145B">
        <w:t xml:space="preserve"> Jamie fait cette révélation, plutôt inquiétante</w:t>
      </w:r>
      <w:r w:rsidR="0094188C">
        <w:t xml:space="preserve"> pour le bon peuple</w:t>
      </w:r>
      <w:r w:rsidR="0022145B">
        <w:t>, de façon désinvolte</w:t>
      </w:r>
      <w:r w:rsidR="00ED7738">
        <w:t>, comme s’il s’agissait d’un évènement ordinaire imprévu</w:t>
      </w:r>
      <w:r w:rsidR="0022145B">
        <w:t xml:space="preserve">. </w:t>
      </w:r>
      <w:r w:rsidR="00ED7738">
        <w:t xml:space="preserve">C’est un évènement ni ordinaire, ni imprévu. </w:t>
      </w:r>
      <w:r w:rsidR="0022145B">
        <w:t xml:space="preserve">Il y a longtemps que lui et ses </w:t>
      </w:r>
      <w:r w:rsidR="00EB196D">
        <w:t>amis</w:t>
      </w:r>
      <w:r w:rsidR="0022145B">
        <w:t xml:space="preserve"> </w:t>
      </w:r>
      <w:r w:rsidR="0094188C">
        <w:t xml:space="preserve">de Wall Street </w:t>
      </w:r>
      <w:r w:rsidR="0022145B">
        <w:t xml:space="preserve">savent que la situation qu’ils ont créé avec la complicité de la Réserve fédérale et du Congrès qui rappelons-le </w:t>
      </w:r>
      <w:r w:rsidR="00F21AD8">
        <w:t xml:space="preserve">supervise la banque centrale, savent qu’un tsunami économique et financier est en formation. </w:t>
      </w:r>
    </w:p>
    <w:p w14:paraId="100FAD3F" w14:textId="44760A7A" w:rsidR="008533F9" w:rsidRDefault="008533F9"/>
    <w:p w14:paraId="7F7CB3D2" w14:textId="495C79A0" w:rsidR="008533F9" w:rsidRDefault="008533F9">
      <w:r>
        <w:t>La politique économique américaine ne fait plus sens depuis la Révolution Reagan, c’est-à-dire depuis sa conversion au néolibéralisme</w:t>
      </w:r>
      <w:r w:rsidR="00102781">
        <w:t xml:space="preserve"> dont le but non déclaré est la soumission de l’Etat aux diktats du marché</w:t>
      </w:r>
      <w:r>
        <w:t xml:space="preserve">. La crise des subprimes fut l’occasion pour la Réserve fédérale d’adopter une politique résolument monétariste qui </w:t>
      </w:r>
      <w:r w:rsidR="00666588">
        <w:t>sauva</w:t>
      </w:r>
      <w:r w:rsidR="00A70C13">
        <w:t xml:space="preserve"> </w:t>
      </w:r>
      <w:r>
        <w:t>les grandes banques de la faillite</w:t>
      </w:r>
      <w:r w:rsidR="00A70C13">
        <w:rPr>
          <w:rStyle w:val="Appelnotedebasdep"/>
        </w:rPr>
        <w:footnoteReference w:id="2"/>
      </w:r>
      <w:r w:rsidR="00666588">
        <w:t>,</w:t>
      </w:r>
      <w:r>
        <w:t xml:space="preserve"> </w:t>
      </w:r>
      <w:r w:rsidR="00666588">
        <w:t>mais laissa</w:t>
      </w:r>
      <w:r w:rsidR="00E403EF">
        <w:t xml:space="preserve"> </w:t>
      </w:r>
      <w:r w:rsidR="00666588">
        <w:t xml:space="preserve">dans le dénuement </w:t>
      </w:r>
      <w:r w:rsidR="00E403EF">
        <w:t>les braves gens qui s’étaient laissés convaincre par le</w:t>
      </w:r>
      <w:r w:rsidR="00102781">
        <w:t>ur</w:t>
      </w:r>
      <w:r w:rsidR="00E403EF">
        <w:t>s boniments pour acheter un bien immobilier dont ils n’avaient pas les moyens</w:t>
      </w:r>
      <w:r w:rsidR="00666588">
        <w:t>.</w:t>
      </w:r>
      <w:r w:rsidR="00E403EF">
        <w:rPr>
          <w:rStyle w:val="Appelnotedebasdep"/>
        </w:rPr>
        <w:footnoteReference w:id="3"/>
      </w:r>
      <w:r w:rsidR="00E403EF">
        <w:t xml:space="preserve"> </w:t>
      </w:r>
      <w:r w:rsidR="00666588">
        <w:t>Le gouvernement Obama ne fit rien ou presque pour les sauver de la misère ! L’irresponsabilité des autorités américaines et de leurs complices de Wall Street apparaît clairement à la lumière de graphiques</w:t>
      </w:r>
      <w:r w:rsidR="004E028C">
        <w:t xml:space="preserve"> qui illustre</w:t>
      </w:r>
      <w:r w:rsidR="00102781">
        <w:t>nt</w:t>
      </w:r>
      <w:r w:rsidR="004E028C">
        <w:t xml:space="preserve"> trois données économiques fondamentales depuis 1940 : u</w:t>
      </w:r>
      <w:r w:rsidR="00666588">
        <w:t>n budget fédéral hors</w:t>
      </w:r>
      <w:r w:rsidR="004E028C">
        <w:t xml:space="preserve"> contrôle</w:t>
      </w:r>
      <w:r w:rsidR="00854441">
        <w:t xml:space="preserve"> dont le déficit </w:t>
      </w:r>
      <w:r w:rsidR="00B67757">
        <w:t>en 2021</w:t>
      </w:r>
      <w:r w:rsidR="00854441">
        <w:t xml:space="preserve">s’élève à </w:t>
      </w:r>
      <w:r w:rsidR="00B67757">
        <w:t xml:space="preserve">3.132 milliards de dollars, soit </w:t>
      </w:r>
      <w:r w:rsidR="00854441">
        <w:t>15% du produit intérieur brut</w:t>
      </w:r>
      <w:r w:rsidR="004E028C">
        <w:t>, un endettement public supérieur à celui de 1945</w:t>
      </w:r>
      <w:r w:rsidR="00EB196D">
        <w:t xml:space="preserve"> (en pourcentage du produit intérieur brut)</w:t>
      </w:r>
      <w:r w:rsidR="004E028C">
        <w:t>, et une politique de la Réserve fédérale tout à la fois incompréhensible et répréhensible</w:t>
      </w:r>
      <w:r w:rsidR="00EB196D">
        <w:t xml:space="preserve"> comme le montre l’évolution de son bilan dont le total a été multiplié par 9 depuis la crises des subprimes</w:t>
      </w:r>
      <w:r w:rsidR="0092391C">
        <w:t xml:space="preserve"> (2008)</w:t>
      </w:r>
      <w:r w:rsidR="00EB196D">
        <w:t xml:space="preserve">. Plus étonnant encore, </w:t>
      </w:r>
      <w:r w:rsidR="008E7843">
        <w:t xml:space="preserve">62% de cette augmentation s’est </w:t>
      </w:r>
      <w:r w:rsidR="00854441">
        <w:t>produite</w:t>
      </w:r>
      <w:r w:rsidR="008E7843">
        <w:t xml:space="preserve"> au cours des deux dernières années. Il s’agit d’une inj</w:t>
      </w:r>
      <w:r w:rsidR="00B67757">
        <w:t>e</w:t>
      </w:r>
      <w:r w:rsidR="008E7843">
        <w:t xml:space="preserve">ction de liquidité </w:t>
      </w:r>
      <w:r w:rsidR="008477F2">
        <w:t>hors norme</w:t>
      </w:r>
      <w:r w:rsidR="008E7843">
        <w:t>, sans raison apparente, porteuse d’inflation. Jamie D</w:t>
      </w:r>
      <w:r w:rsidR="0092391C">
        <w:t>i</w:t>
      </w:r>
      <w:r w:rsidR="008E7843">
        <w:t xml:space="preserve">mon </w:t>
      </w:r>
      <w:r w:rsidR="008477F2">
        <w:t>le sait. Il le sait depuis longtemps ce qui rend son annonce hypocrite</w:t>
      </w:r>
      <w:r w:rsidR="008E7843">
        <w:t>.</w:t>
      </w:r>
    </w:p>
    <w:p w14:paraId="3BCF7BAF" w14:textId="5FC8654C" w:rsidR="008533F9" w:rsidRDefault="008533F9"/>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04"/>
        <w:gridCol w:w="3304"/>
        <w:gridCol w:w="3304"/>
      </w:tblGrid>
      <w:tr w:rsidR="008533F9" w:rsidRPr="008533F9" w14:paraId="05B39083" w14:textId="77777777" w:rsidTr="008533F9">
        <w:tc>
          <w:tcPr>
            <w:tcW w:w="3304" w:type="dxa"/>
          </w:tcPr>
          <w:p w14:paraId="0C11E5BA" w14:textId="52705ED3" w:rsidR="008533F9" w:rsidRPr="008533F9" w:rsidRDefault="008533F9" w:rsidP="008533F9">
            <w:pPr>
              <w:jc w:val="center"/>
              <w:rPr>
                <w:sz w:val="18"/>
                <w:szCs w:val="18"/>
              </w:rPr>
            </w:pPr>
            <w:r>
              <w:rPr>
                <w:sz w:val="18"/>
                <w:szCs w:val="18"/>
              </w:rPr>
              <w:t>Graphique 1</w:t>
            </w:r>
          </w:p>
        </w:tc>
        <w:tc>
          <w:tcPr>
            <w:tcW w:w="3304" w:type="dxa"/>
          </w:tcPr>
          <w:p w14:paraId="25A6BA4F" w14:textId="6BB87A8F" w:rsidR="008533F9" w:rsidRPr="008533F9" w:rsidRDefault="008533F9" w:rsidP="008533F9">
            <w:pPr>
              <w:jc w:val="center"/>
              <w:rPr>
                <w:sz w:val="18"/>
                <w:szCs w:val="18"/>
              </w:rPr>
            </w:pPr>
            <w:r>
              <w:rPr>
                <w:sz w:val="18"/>
                <w:szCs w:val="18"/>
              </w:rPr>
              <w:t>Graphique 2</w:t>
            </w:r>
          </w:p>
        </w:tc>
        <w:tc>
          <w:tcPr>
            <w:tcW w:w="3304" w:type="dxa"/>
          </w:tcPr>
          <w:p w14:paraId="084622D9" w14:textId="4A7A7350" w:rsidR="008533F9" w:rsidRPr="008533F9" w:rsidRDefault="008533F9" w:rsidP="008533F9">
            <w:pPr>
              <w:jc w:val="center"/>
              <w:rPr>
                <w:sz w:val="18"/>
                <w:szCs w:val="18"/>
              </w:rPr>
            </w:pPr>
            <w:r>
              <w:rPr>
                <w:sz w:val="18"/>
                <w:szCs w:val="18"/>
              </w:rPr>
              <w:t>Graphique 3</w:t>
            </w:r>
          </w:p>
        </w:tc>
      </w:tr>
      <w:tr w:rsidR="008533F9" w14:paraId="42185957" w14:textId="77777777" w:rsidTr="006A1803">
        <w:tc>
          <w:tcPr>
            <w:tcW w:w="3304" w:type="dxa"/>
          </w:tcPr>
          <w:p w14:paraId="54BBB579" w14:textId="4AD5F687" w:rsidR="008533F9" w:rsidRDefault="006A1803" w:rsidP="008533F9">
            <w:pPr>
              <w:jc w:val="center"/>
            </w:pPr>
            <w:r>
              <w:rPr>
                <w:noProof/>
              </w:rPr>
              <w:drawing>
                <wp:inline distT="0" distB="0" distL="0" distR="0" wp14:anchorId="0D5F6908" wp14:editId="70D2109E">
                  <wp:extent cx="2098223" cy="1231641"/>
                  <wp:effectExtent l="0" t="0" r="0" b="698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6515" cy="1248248"/>
                          </a:xfrm>
                          <a:prstGeom prst="rect">
                            <a:avLst/>
                          </a:prstGeom>
                          <a:noFill/>
                        </pic:spPr>
                      </pic:pic>
                    </a:graphicData>
                  </a:graphic>
                </wp:inline>
              </w:drawing>
            </w:r>
          </w:p>
        </w:tc>
        <w:tc>
          <w:tcPr>
            <w:tcW w:w="3304" w:type="dxa"/>
          </w:tcPr>
          <w:p w14:paraId="402DD287" w14:textId="76286B1E" w:rsidR="008533F9" w:rsidRDefault="008533F9" w:rsidP="008533F9">
            <w:pPr>
              <w:jc w:val="center"/>
            </w:pPr>
            <w:r>
              <w:rPr>
                <w:noProof/>
              </w:rPr>
              <w:drawing>
                <wp:inline distT="0" distB="0" distL="0" distR="0" wp14:anchorId="07A24A53" wp14:editId="754D1394">
                  <wp:extent cx="2023817" cy="1217663"/>
                  <wp:effectExtent l="0" t="0" r="0" b="190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50441" cy="1233682"/>
                          </a:xfrm>
                          <a:prstGeom prst="rect">
                            <a:avLst/>
                          </a:prstGeom>
                          <a:noFill/>
                        </pic:spPr>
                      </pic:pic>
                    </a:graphicData>
                  </a:graphic>
                </wp:inline>
              </w:drawing>
            </w:r>
          </w:p>
        </w:tc>
        <w:tc>
          <w:tcPr>
            <w:tcW w:w="3304" w:type="dxa"/>
          </w:tcPr>
          <w:p w14:paraId="38F24A47" w14:textId="06630B49" w:rsidR="008533F9" w:rsidRDefault="004E028C" w:rsidP="008533F9">
            <w:pPr>
              <w:jc w:val="center"/>
            </w:pPr>
            <w:r>
              <w:rPr>
                <w:noProof/>
              </w:rPr>
              <mc:AlternateContent>
                <mc:Choice Requires="wps">
                  <w:drawing>
                    <wp:anchor distT="0" distB="0" distL="114300" distR="114300" simplePos="0" relativeHeight="251660288" behindDoc="0" locked="0" layoutInCell="1" allowOverlap="1" wp14:anchorId="239DB949" wp14:editId="120899DB">
                      <wp:simplePos x="0" y="0"/>
                      <wp:positionH relativeFrom="column">
                        <wp:posOffset>1588386</wp:posOffset>
                      </wp:positionH>
                      <wp:positionV relativeFrom="paragraph">
                        <wp:posOffset>702945</wp:posOffset>
                      </wp:positionV>
                      <wp:extent cx="317840" cy="4890"/>
                      <wp:effectExtent l="0" t="76200" r="25400" b="90805"/>
                      <wp:wrapNone/>
                      <wp:docPr id="6" name="Connecteur droit avec flèche 6"/>
                      <wp:cNvGraphicFramePr/>
                      <a:graphic xmlns:a="http://schemas.openxmlformats.org/drawingml/2006/main">
                        <a:graphicData uri="http://schemas.microsoft.com/office/word/2010/wordprocessingShape">
                          <wps:wsp>
                            <wps:cNvCnPr/>
                            <wps:spPr>
                              <a:xfrm>
                                <a:off x="0" y="0"/>
                                <a:ext cx="317840" cy="4890"/>
                              </a:xfrm>
                              <a:prstGeom prst="straightConnector1">
                                <a:avLst/>
                              </a:prstGeom>
                              <a:ln w="127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C432859" id="_x0000_t32" coordsize="21600,21600" o:spt="32" o:oned="t" path="m,l21600,21600e" filled="f">
                      <v:path arrowok="t" fillok="f" o:connecttype="none"/>
                      <o:lock v:ext="edit" shapetype="t"/>
                    </v:shapetype>
                    <v:shape id="Connecteur droit avec flèche 6" o:spid="_x0000_s1026" type="#_x0000_t32" style="position:absolute;margin-left:125.05pt;margin-top:55.35pt;width:25.05pt;height:.4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" strokecolor="red" strokeweight="1pt">
                      <v:stroke endarrow="block" joinstyle="miter"/>
                    </v:shape>
                  </w:pict>
                </mc:Fallback>
              </mc:AlternateContent>
            </w:r>
            <w:r>
              <w:rPr>
                <w:noProof/>
              </w:rPr>
              <mc:AlternateContent>
                <mc:Choice Requires="wps">
                  <w:drawing>
                    <wp:anchor distT="0" distB="0" distL="114300" distR="114300" simplePos="0" relativeHeight="251659264" behindDoc="0" locked="0" layoutInCell="1" allowOverlap="1" wp14:anchorId="3FBB00DB" wp14:editId="5FDA9F0A">
                      <wp:simplePos x="0" y="0"/>
                      <wp:positionH relativeFrom="column">
                        <wp:posOffset>1304416</wp:posOffset>
                      </wp:positionH>
                      <wp:positionV relativeFrom="paragraph">
                        <wp:posOffset>903605</wp:posOffset>
                      </wp:positionV>
                      <wp:extent cx="376518" cy="0"/>
                      <wp:effectExtent l="0" t="76200" r="24130" b="95250"/>
                      <wp:wrapNone/>
                      <wp:docPr id="4" name="Connecteur droit avec flèche 4"/>
                      <wp:cNvGraphicFramePr/>
                      <a:graphic xmlns:a="http://schemas.openxmlformats.org/drawingml/2006/main">
                        <a:graphicData uri="http://schemas.microsoft.com/office/word/2010/wordprocessingShape">
                          <wps:wsp>
                            <wps:cNvCnPr/>
                            <wps:spPr>
                              <a:xfrm>
                                <a:off x="0" y="0"/>
                                <a:ext cx="376518" cy="0"/>
                              </a:xfrm>
                              <a:prstGeom prst="straightConnector1">
                                <a:avLst/>
                              </a:prstGeom>
                              <a:ln w="127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7F25C2B" id="Connecteur droit avec flèche 4" o:spid="_x0000_s1026" type="#_x0000_t32" style="position:absolute;margin-left:102.7pt;margin-top:71.15pt;width:29.6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" strokecolor="red" strokeweight="1pt">
                      <v:stroke endarrow="block" joinstyle="miter"/>
                    </v:shape>
                  </w:pict>
                </mc:Fallback>
              </mc:AlternateContent>
            </w:r>
            <w:r w:rsidR="006A1803">
              <w:rPr>
                <w:noProof/>
              </w:rPr>
              <w:drawing>
                <wp:inline distT="0" distB="0" distL="0" distR="0" wp14:anchorId="20B4A266" wp14:editId="24F85E14">
                  <wp:extent cx="2019524" cy="1209698"/>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56844" cy="1232053"/>
                          </a:xfrm>
                          <a:prstGeom prst="rect">
                            <a:avLst/>
                          </a:prstGeom>
                          <a:noFill/>
                        </pic:spPr>
                      </pic:pic>
                    </a:graphicData>
                  </a:graphic>
                </wp:inline>
              </w:drawing>
            </w:r>
          </w:p>
        </w:tc>
      </w:tr>
    </w:tbl>
    <w:p w14:paraId="25E2FAF7" w14:textId="77777777" w:rsidR="008533F9" w:rsidRDefault="008533F9"/>
    <w:p w14:paraId="00B32C5F" w14:textId="76E86B9F" w:rsidR="008533F9" w:rsidRDefault="008558F2">
      <w:r>
        <w:t xml:space="preserve">Avec les effets négatifs de la pandémie et de la guerre en Ukraine, cette politique irresponsable et criminelle ne peut se traduire que par une crise économique et financière mondiale d’ampleur qui enverra </w:t>
      </w:r>
      <w:r w:rsidR="00A06E60">
        <w:t xml:space="preserve">la Grande Crise de 1929 </w:t>
      </w:r>
      <w:r>
        <w:t>dans les oubliettes de l’Histoire.</w:t>
      </w:r>
      <w:r w:rsidR="004E028C">
        <w:t xml:space="preserve"> </w:t>
      </w:r>
    </w:p>
    <w:p w14:paraId="18D79852" w14:textId="21FB4A19" w:rsidR="00563BD8" w:rsidRDefault="00563BD8"/>
    <w:p w14:paraId="40565F6C" w14:textId="6D73C03A" w:rsidR="00563BD8" w:rsidRPr="00563BD8" w:rsidRDefault="00563BD8">
      <w:pPr>
        <w:rPr>
          <w:i/>
          <w:iCs/>
        </w:rPr>
      </w:pPr>
      <w:r>
        <w:rPr>
          <w:i/>
          <w:iCs/>
        </w:rPr>
        <w:t>*Ancien directeur de Citigroup (New York) et auteur de « L’euro survivra-t-il ? »</w:t>
      </w:r>
    </w:p>
    <w:p w14:paraId="21BCCF64" w14:textId="77777777" w:rsidR="008533F9" w:rsidRDefault="008533F9"/>
    <w:p w14:paraId="0C2718AF" w14:textId="77777777" w:rsidR="00F21AD8" w:rsidRDefault="00F21AD8"/>
    <w:p w14:paraId="75769D2A" w14:textId="1115CB5B" w:rsidR="004A2BD3" w:rsidRDefault="0022145B">
      <w:r>
        <w:t xml:space="preserve"> </w:t>
      </w:r>
    </w:p>
    <w:sectPr w:rsidR="004A2BD3" w:rsidSect="004A1AA8">
      <w:pgSz w:w="11906" w:h="16838"/>
      <w:pgMar w:top="1417" w:right="56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C8F95" w14:textId="77777777" w:rsidR="007838B4" w:rsidRDefault="007838B4" w:rsidP="004E00A6">
      <w:pPr>
        <w:spacing w:line="240" w:lineRule="auto"/>
      </w:pPr>
      <w:r>
        <w:separator/>
      </w:r>
    </w:p>
  </w:endnote>
  <w:endnote w:type="continuationSeparator" w:id="0">
    <w:p w14:paraId="73BDE585" w14:textId="77777777" w:rsidR="007838B4" w:rsidRDefault="007838B4" w:rsidP="004E00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79545" w14:textId="77777777" w:rsidR="007838B4" w:rsidRDefault="007838B4" w:rsidP="004E00A6">
      <w:pPr>
        <w:spacing w:line="240" w:lineRule="auto"/>
      </w:pPr>
      <w:r>
        <w:separator/>
      </w:r>
    </w:p>
  </w:footnote>
  <w:footnote w:type="continuationSeparator" w:id="0">
    <w:p w14:paraId="752D70CA" w14:textId="77777777" w:rsidR="007838B4" w:rsidRDefault="007838B4" w:rsidP="004E00A6">
      <w:pPr>
        <w:spacing w:line="240" w:lineRule="auto"/>
      </w:pPr>
      <w:r>
        <w:continuationSeparator/>
      </w:r>
    </w:p>
  </w:footnote>
  <w:footnote w:id="1">
    <w:p w14:paraId="3B82CCC2" w14:textId="02937291" w:rsidR="004E00A6" w:rsidRPr="00A70C13" w:rsidRDefault="004E00A6">
      <w:pPr>
        <w:pStyle w:val="Notedebasdepage"/>
      </w:pPr>
      <w:r w:rsidRPr="00A70C13">
        <w:rPr>
          <w:rStyle w:val="Appelnotedebasdep"/>
        </w:rPr>
        <w:footnoteRef/>
      </w:r>
      <w:r w:rsidRPr="00A70C13">
        <w:t xml:space="preserve"> JPMorgan Chase a payé </w:t>
      </w:r>
      <w:hyperlink r:id="rId1" w:history="1">
        <w:r w:rsidRPr="00A70C13">
          <w:rPr>
            <w:rStyle w:val="Lienhypertexte"/>
            <w:u w:val="none"/>
          </w:rPr>
          <w:t>3</w:t>
        </w:r>
        <w:r w:rsidR="00FB4E83" w:rsidRPr="00A70C13">
          <w:rPr>
            <w:rStyle w:val="Lienhypertexte"/>
            <w:u w:val="none"/>
          </w:rPr>
          <w:t>7</w:t>
        </w:r>
        <w:r w:rsidRPr="00A70C13">
          <w:rPr>
            <w:rStyle w:val="Lienhypertexte"/>
            <w:u w:val="none"/>
          </w:rPr>
          <w:t xml:space="preserve"> milliards de dollars</w:t>
        </w:r>
      </w:hyperlink>
      <w:r w:rsidRPr="00A70C13">
        <w:t xml:space="preserve"> à la justice américaine au titre des délits financiers </w:t>
      </w:r>
      <w:r w:rsidR="00A70C13">
        <w:t xml:space="preserve">de </w:t>
      </w:r>
      <w:r w:rsidRPr="00A70C13">
        <w:t>ces dernières années (</w:t>
      </w:r>
      <w:r w:rsidRPr="00A70C13">
        <w:rPr>
          <w:rFonts w:cs="Times New Roman"/>
          <w:bdr w:val="none" w:sz="0" w:space="0" w:color="auto" w:frame="1"/>
          <w:lang w:eastAsia="fr-FR"/>
        </w:rPr>
        <w:t>JPMorgan Chase admits to two new felony counts, JPMorgan Chase admits to two new felony counts…</w:t>
      </w:r>
      <w:r w:rsidRPr="00A70C13">
        <w:t>).</w:t>
      </w:r>
    </w:p>
  </w:footnote>
  <w:footnote w:id="2">
    <w:p w14:paraId="764DE767" w14:textId="59F99425" w:rsidR="00A70C13" w:rsidRPr="00A70C13" w:rsidRDefault="00A70C13" w:rsidP="00A70C13">
      <w:pPr>
        <w:spacing w:line="240" w:lineRule="auto"/>
        <w:rPr>
          <w:color w:val="2F5496" w:themeColor="accent1" w:themeShade="BF"/>
          <w:sz w:val="20"/>
          <w:szCs w:val="20"/>
          <w:lang w:val="en-US" w:eastAsia="fr-FR"/>
        </w:rPr>
      </w:pPr>
      <w:bookmarkStart w:id="0" w:name="_Hlk102834194"/>
      <w:r w:rsidRPr="00A70C13">
        <w:rPr>
          <w:rStyle w:val="Appelnotedebasdep"/>
          <w:sz w:val="20"/>
          <w:szCs w:val="20"/>
        </w:rPr>
        <w:footnoteRef/>
      </w:r>
      <w:r w:rsidRPr="00A70C13">
        <w:rPr>
          <w:sz w:val="20"/>
          <w:szCs w:val="20"/>
          <w:lang w:val="en-US"/>
        </w:rPr>
        <w:t xml:space="preserve"> </w:t>
      </w:r>
      <w:r w:rsidRPr="00A70C13">
        <w:rPr>
          <w:sz w:val="20"/>
          <w:szCs w:val="20"/>
          <w:lang w:val="en-US" w:eastAsia="fr-FR"/>
        </w:rPr>
        <w:t>Source:  </w:t>
      </w:r>
      <w:hyperlink r:id="rId2" w:anchor="rrp" w:history="1">
        <w:r w:rsidRPr="00A70C13">
          <w:rPr>
            <w:color w:val="2F5496" w:themeColor="accent1" w:themeShade="BF"/>
            <w:sz w:val="20"/>
            <w:szCs w:val="20"/>
            <w:lang w:val="en-US" w:eastAsia="fr-FR"/>
          </w:rPr>
          <w:t>Historical Transaction Data - FEDERAL RESERVE BANK of NEW YORK (newyorkfed.org)</w:t>
        </w:r>
      </w:hyperlink>
      <w:bookmarkEnd w:id="0"/>
    </w:p>
  </w:footnote>
  <w:footnote w:id="3">
    <w:p w14:paraId="74F14170" w14:textId="5A0BE463" w:rsidR="00E403EF" w:rsidRPr="00A70C13" w:rsidRDefault="00E403EF">
      <w:pPr>
        <w:pStyle w:val="Notedebasdepage"/>
      </w:pPr>
      <w:r w:rsidRPr="00A70C13">
        <w:rPr>
          <w:rStyle w:val="Appelnotedebasdep"/>
        </w:rPr>
        <w:footnoteRef/>
      </w:r>
      <w:r w:rsidRPr="00A70C13">
        <w:t xml:space="preserve"> No Income, No Asset Mortgage (NINA).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BD3"/>
    <w:rsid w:val="00023C69"/>
    <w:rsid w:val="000361E1"/>
    <w:rsid w:val="00096236"/>
    <w:rsid w:val="00102781"/>
    <w:rsid w:val="00121BB7"/>
    <w:rsid w:val="0017712E"/>
    <w:rsid w:val="0022145B"/>
    <w:rsid w:val="00304789"/>
    <w:rsid w:val="00352E4D"/>
    <w:rsid w:val="00405D23"/>
    <w:rsid w:val="00435F47"/>
    <w:rsid w:val="004A1AA8"/>
    <w:rsid w:val="004A2BD3"/>
    <w:rsid w:val="004D1FD2"/>
    <w:rsid w:val="004E00A6"/>
    <w:rsid w:val="004E028C"/>
    <w:rsid w:val="00563BD8"/>
    <w:rsid w:val="006306B8"/>
    <w:rsid w:val="00630DB4"/>
    <w:rsid w:val="0065166B"/>
    <w:rsid w:val="00666588"/>
    <w:rsid w:val="00666C0F"/>
    <w:rsid w:val="006A1803"/>
    <w:rsid w:val="006A78AC"/>
    <w:rsid w:val="006C4DCD"/>
    <w:rsid w:val="007278E4"/>
    <w:rsid w:val="00731EFD"/>
    <w:rsid w:val="00760613"/>
    <w:rsid w:val="00777C54"/>
    <w:rsid w:val="007838B4"/>
    <w:rsid w:val="007D4F53"/>
    <w:rsid w:val="008477F2"/>
    <w:rsid w:val="008533F9"/>
    <w:rsid w:val="00854441"/>
    <w:rsid w:val="008558F2"/>
    <w:rsid w:val="008C5460"/>
    <w:rsid w:val="008E7843"/>
    <w:rsid w:val="0092391C"/>
    <w:rsid w:val="0094188C"/>
    <w:rsid w:val="009708D3"/>
    <w:rsid w:val="00A06E60"/>
    <w:rsid w:val="00A70C13"/>
    <w:rsid w:val="00B40633"/>
    <w:rsid w:val="00B67757"/>
    <w:rsid w:val="00CA5A5F"/>
    <w:rsid w:val="00CE20EF"/>
    <w:rsid w:val="00CE4A26"/>
    <w:rsid w:val="00D87D56"/>
    <w:rsid w:val="00E403EF"/>
    <w:rsid w:val="00E51D58"/>
    <w:rsid w:val="00EB196D"/>
    <w:rsid w:val="00ED7738"/>
    <w:rsid w:val="00F214CC"/>
    <w:rsid w:val="00F21AD8"/>
    <w:rsid w:val="00F230AD"/>
    <w:rsid w:val="00FB19A6"/>
    <w:rsid w:val="00FB4E83"/>
    <w:rsid w:val="00FE4D8F"/>
    <w:rsid w:val="00FF12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08DE5"/>
  <w15:chartTrackingRefBased/>
  <w15:docId w15:val="{30089679-9211-41F1-8E37-7657BC386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F53"/>
    <w:pPr>
      <w:spacing w:after="0"/>
    </w:pPr>
    <w:rPr>
      <w:rFonts w:ascii="Times New Roman" w:hAnsi="Times New Roman"/>
    </w:rPr>
  </w:style>
  <w:style w:type="paragraph" w:styleId="Titre1">
    <w:name w:val="heading 1"/>
    <w:basedOn w:val="Normal"/>
    <w:next w:val="Normal"/>
    <w:link w:val="Titre1Car"/>
    <w:autoRedefine/>
    <w:uiPriority w:val="9"/>
    <w:rsid w:val="006A78AC"/>
    <w:pPr>
      <w:keepNext/>
      <w:keepLines/>
      <w:framePr w:wrap="around" w:hAnchor="text"/>
      <w:outlineLvl w:val="0"/>
    </w:pPr>
    <w:rPr>
      <w:rFonts w:eastAsiaTheme="majorEastAsia" w:cstheme="majorBidi"/>
      <w:szCs w:val="32"/>
    </w:rPr>
  </w:style>
  <w:style w:type="paragraph" w:styleId="Titre2">
    <w:name w:val="heading 2"/>
    <w:basedOn w:val="Normal"/>
    <w:next w:val="Normal"/>
    <w:link w:val="Titre2Car"/>
    <w:uiPriority w:val="9"/>
    <w:semiHidden/>
    <w:unhideWhenUsed/>
    <w:qFormat/>
    <w:rsid w:val="00FF129C"/>
    <w:pPr>
      <w:keepNext/>
      <w:keepLines/>
      <w:framePr w:wrap="around" w:hAnchor="text"/>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rsid w:val="00F230AD"/>
    <w:pPr>
      <w:spacing w:after="0" w:line="240" w:lineRule="auto"/>
    </w:pPr>
    <w:rPr>
      <w:rFonts w:ascii="Times New Roman" w:hAnsi="Times New Roman"/>
    </w:rPr>
  </w:style>
  <w:style w:type="character" w:customStyle="1" w:styleId="Titre1Car">
    <w:name w:val="Titre 1 Car"/>
    <w:basedOn w:val="Policepardfaut"/>
    <w:link w:val="Titre1"/>
    <w:uiPriority w:val="9"/>
    <w:rsid w:val="006A78AC"/>
    <w:rPr>
      <w:rFonts w:ascii="Times New Roman" w:eastAsiaTheme="majorEastAsia" w:hAnsi="Times New Roman" w:cstheme="majorBidi"/>
      <w:szCs w:val="32"/>
    </w:rPr>
  </w:style>
  <w:style w:type="character" w:customStyle="1" w:styleId="Titre2Car">
    <w:name w:val="Titre 2 Car"/>
    <w:basedOn w:val="Policepardfaut"/>
    <w:link w:val="Titre2"/>
    <w:uiPriority w:val="9"/>
    <w:semiHidden/>
    <w:rsid w:val="00FF129C"/>
    <w:rPr>
      <w:rFonts w:asciiTheme="majorHAnsi" w:eastAsiaTheme="majorEastAsia" w:hAnsiTheme="majorHAnsi" w:cstheme="majorBidi"/>
      <w:color w:val="2F5496" w:themeColor="accent1" w:themeShade="BF"/>
      <w:sz w:val="26"/>
      <w:szCs w:val="26"/>
    </w:rPr>
  </w:style>
  <w:style w:type="paragraph" w:customStyle="1" w:styleId="Style1">
    <w:name w:val="Style1"/>
    <w:basedOn w:val="Normal"/>
    <w:rsid w:val="009708D3"/>
  </w:style>
  <w:style w:type="paragraph" w:customStyle="1" w:styleId="Style2">
    <w:name w:val="Style2"/>
    <w:basedOn w:val="Titre1"/>
    <w:next w:val="Normal"/>
    <w:link w:val="Style2Car"/>
    <w:autoRedefine/>
    <w:qFormat/>
    <w:rsid w:val="009708D3"/>
    <w:pPr>
      <w:framePr w:wrap="around"/>
    </w:pPr>
  </w:style>
  <w:style w:type="character" w:customStyle="1" w:styleId="Style2Car">
    <w:name w:val="Style2 Car"/>
    <w:basedOn w:val="Policepardfaut"/>
    <w:link w:val="Style2"/>
    <w:rsid w:val="009708D3"/>
    <w:rPr>
      <w:rFonts w:ascii="Times New Roman" w:eastAsiaTheme="majorEastAsia" w:hAnsi="Times New Roman" w:cstheme="majorBidi"/>
      <w:szCs w:val="32"/>
    </w:rPr>
  </w:style>
  <w:style w:type="paragraph" w:styleId="Notedebasdepage">
    <w:name w:val="footnote text"/>
    <w:basedOn w:val="Normal"/>
    <w:link w:val="NotedebasdepageCar"/>
    <w:uiPriority w:val="99"/>
    <w:semiHidden/>
    <w:unhideWhenUsed/>
    <w:rsid w:val="004E00A6"/>
    <w:pPr>
      <w:spacing w:line="240" w:lineRule="auto"/>
    </w:pPr>
    <w:rPr>
      <w:sz w:val="20"/>
      <w:szCs w:val="20"/>
    </w:rPr>
  </w:style>
  <w:style w:type="character" w:customStyle="1" w:styleId="NotedebasdepageCar">
    <w:name w:val="Note de bas de page Car"/>
    <w:basedOn w:val="Policepardfaut"/>
    <w:link w:val="Notedebasdepage"/>
    <w:uiPriority w:val="99"/>
    <w:semiHidden/>
    <w:rsid w:val="004E00A6"/>
    <w:rPr>
      <w:rFonts w:ascii="Times New Roman" w:hAnsi="Times New Roman"/>
      <w:sz w:val="20"/>
      <w:szCs w:val="20"/>
    </w:rPr>
  </w:style>
  <w:style w:type="character" w:styleId="Appelnotedebasdep">
    <w:name w:val="footnote reference"/>
    <w:basedOn w:val="Policepardfaut"/>
    <w:uiPriority w:val="99"/>
    <w:semiHidden/>
    <w:unhideWhenUsed/>
    <w:rsid w:val="004E00A6"/>
    <w:rPr>
      <w:vertAlign w:val="superscript"/>
    </w:rPr>
  </w:style>
  <w:style w:type="table" w:styleId="Grilledutableau">
    <w:name w:val="Table Grid"/>
    <w:basedOn w:val="TableauNormal"/>
    <w:uiPriority w:val="39"/>
    <w:rsid w:val="008533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FB4E83"/>
    <w:rPr>
      <w:color w:val="0563C1" w:themeColor="hyperlink"/>
      <w:u w:val="single"/>
    </w:rPr>
  </w:style>
  <w:style w:type="character" w:styleId="Mentionnonrsolue">
    <w:name w:val="Unresolved Mention"/>
    <w:basedOn w:val="Policepardfaut"/>
    <w:uiPriority w:val="99"/>
    <w:semiHidden/>
    <w:unhideWhenUsed/>
    <w:rsid w:val="00FB4E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foxbusiness.com/economy/jamie-dimon-warns-economic-hurricane-fed-races-cool-infla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_rels/footnotes.xml.rels><?xml version="1.0" encoding="UTF-8" standalone="yes"?>
<Relationships xmlns="http://schemas.openxmlformats.org/package/2006/relationships"><Relationship Id="rId2" Type="http://schemas.openxmlformats.org/officeDocument/2006/relationships/hyperlink" Target="https://www.newyorkfed.org/markets/OMO_transaction_data.html" TargetMode="External"/><Relationship Id="rId1" Type="http://schemas.openxmlformats.org/officeDocument/2006/relationships/hyperlink" Target="https://wallstreetonparade.com/2020/09/jpmorgan-chase-admits-to-two-new-felony-counts-brings-total-to-five-felony-counts-in-six-years-all-during-tenure-of-jamie-dimo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890E12-5346-4D44-B6BC-2D36AA473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Pages>
  <Words>434</Words>
  <Characters>2393</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Jean-Luc</dc:creator>
  <cp:keywords/>
  <dc:description/>
  <cp:lastModifiedBy>Jean-Luc</cp:lastModifiedBy>
  <cp:revision>24</cp:revision>
  <cp:lastPrinted>2022-06-11T15:57:00Z</cp:lastPrinted>
  <dcterms:created xsi:type="dcterms:W3CDTF">2022-06-11T05:53:00Z</dcterms:created>
  <dcterms:modified xsi:type="dcterms:W3CDTF">2022-06-13T05:54:00Z</dcterms:modified>
</cp:coreProperties>
</file>